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非师范类应聘对象的专业要求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6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7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非师范类专业要求及其它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1.汉语言文学、汉语言、汉语国际教育、对外汉语专业；2.具有普通话二甲证书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数学、数学与应用数学、应用数学专业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英语、翻译（英语）专业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思想政治教育、哲学、政治学、国际政治专业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历史学专业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地理学、地理科学、地理信息科学专业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物理学、应用物理学、化学、应用化学、地理科学、生物技术、生物科学专业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社会与政治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政治学、哲学、历史学、地理科学、地理信息科学专业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美术学、绘画、雕塑、摄影、中国画、书法学专业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音乐表演、音乐学、舞蹈表演、舞蹈学、舞蹈编导专业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计算科学与技术、教育技术学、网络工程、软件工程、数字媒体技术、计算机及应用专业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非师范类应届研究生应聘对象的专业要求：研究生专业与上述相应应聘学科所提供的专业类别一致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2020-11-17T07:59:07Z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